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87799DE">
      <w:pP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58435" cy="5764530"/>
            <wp:effectExtent l="0" t="0" r="18415" b="7620"/>
            <wp:docPr id="6" name="图片 6" descr="Supplementary Figure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Supplementary Figure S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576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4F1BF">
      <w:pP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 xml:space="preserve">Supplementary Figure S1. 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Unsupervised clustering of 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LUAD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 samples.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 xml:space="preserve"> (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 xml:space="preserve">A) Unsupervised consensus clustering matrix when k = 1 - 9. (B) Consensus CDF curves showing minimal fluctuations at different consensus indexes. 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 xml:space="preserve">(C) 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>Selection of the optimal clustering number. (D) Trace plot illustrating the clustering of each sample when k values were set from 2 to 9.</w:t>
      </w:r>
    </w:p>
    <w:p w14:paraId="732895A3">
      <w:pP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70500" cy="4930775"/>
            <wp:effectExtent l="0" t="0" r="6350" b="3175"/>
            <wp:docPr id="1" name="图片 1" descr="Supplementary Figure 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upplementary Figure S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93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5214C"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</w:p>
    <w:p w14:paraId="4E7A00CF">
      <w:pP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 xml:space="preserve">Supplementary Figure S2. 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>KM survival curves for each individual signature gene, comparing OS between high and low expression groups.</w:t>
      </w:r>
    </w:p>
    <w:p w14:paraId="2A0B09F8">
      <w:pP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</w:p>
    <w:p w14:paraId="45B0CEA0">
      <w:pP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45100" cy="6926580"/>
            <wp:effectExtent l="0" t="0" r="12700" b="7620"/>
            <wp:docPr id="3" name="图片 3" descr="Supplementary Figure 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Supplementary Figure S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692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51EBE"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 xml:space="preserve">Supplementary Figure S3. Survival analyses of top mutated genes stratified by mutation status and risk subgroups. 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 xml:space="preserve">Kaplan-Meier curves for overall survival comparing mutation vs. wild-type status and four risk-mutation subgroups (HRM, HRW, LRM, LRW) for the top five mutated genes (TP53, TTN, CSMD3, MUC16, USH2A). Log-rank test </w:t>
      </w:r>
      <w:r>
        <w:rPr>
          <w:rFonts w:hint="eastAsia" w:ascii="Times New Roman" w:hAnsi="Times New Roman" w:cs="Times New Roman"/>
          <w:b w:val="0"/>
          <w:bCs w:val="0"/>
          <w:i/>
          <w:iCs/>
          <w:sz w:val="24"/>
          <w:szCs w:val="24"/>
          <w:lang w:val="en-US" w:eastAsia="zh-CN"/>
        </w:rPr>
        <w:t>P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>-values and number-at-risk tables are provided for each comparison.</w:t>
      </w:r>
    </w:p>
    <w:p w14:paraId="149AE39C"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70500" cy="4939665"/>
            <wp:effectExtent l="0" t="0" r="6350" b="13335"/>
            <wp:docPr id="4" name="图片 4" descr="Supplementary Figure 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Supplementary Figure S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93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AD476">
      <w:pP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 xml:space="preserve">Supplementary Figure S4. 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>(A) Violin plots demonstrating significant IC50 differences of top 5 correlated drugs between LR and HR groups. (B) Scatter plots verifying strong correlations (|r| &gt; 0.7, P &lt; 0.001) between drug IC50 and RiskScore for top 5 correlated agents. *</w:t>
      </w:r>
      <w:r>
        <w:rPr>
          <w:rFonts w:hint="eastAsia" w:ascii="Times New Roman" w:hAnsi="Times New Roman" w:cs="Times New Roman"/>
          <w:b w:val="0"/>
          <w:bCs w:val="0"/>
          <w:i/>
          <w:iCs/>
          <w:sz w:val="24"/>
          <w:szCs w:val="24"/>
          <w:lang w:val="en-US" w:eastAsia="zh-CN"/>
        </w:rPr>
        <w:t>P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>&lt; 0.05; **</w:t>
      </w:r>
      <w:r>
        <w:rPr>
          <w:rFonts w:hint="eastAsia" w:ascii="Times New Roman" w:hAnsi="Times New Roman" w:cs="Times New Roman"/>
          <w:b w:val="0"/>
          <w:bCs w:val="0"/>
          <w:i/>
          <w:iCs/>
          <w:sz w:val="24"/>
          <w:szCs w:val="24"/>
          <w:lang w:val="en-US" w:eastAsia="zh-CN"/>
        </w:rPr>
        <w:t>P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>&lt; 0.01; ***</w:t>
      </w:r>
      <w:r>
        <w:rPr>
          <w:rFonts w:hint="eastAsia" w:ascii="Times New Roman" w:hAnsi="Times New Roman" w:cs="Times New Roman"/>
          <w:b w:val="0"/>
          <w:bCs w:val="0"/>
          <w:i/>
          <w:iCs/>
          <w:sz w:val="24"/>
          <w:szCs w:val="24"/>
          <w:lang w:val="en-US" w:eastAsia="zh-CN"/>
        </w:rPr>
        <w:t>P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>&lt; 0.001; ns, not significant.</w:t>
      </w:r>
    </w:p>
    <w:p w14:paraId="081E86EC"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69230" cy="4253230"/>
            <wp:effectExtent l="0" t="0" r="7620" b="13970"/>
            <wp:docPr id="5" name="图片 5" descr="Supplementary Figure S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Supplementary Figure S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25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36519">
      <w:p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 xml:space="preserve">Supplementary Figure S5. </w:t>
      </w:r>
      <w:r>
        <w:rPr>
          <w:rFonts w:hint="default" w:ascii="Times New Roman" w:hAnsi="Times New Roman" w:cs="Times New Roman"/>
          <w:b/>
          <w:bCs/>
          <w:sz w:val="24"/>
          <w:szCs w:val="24"/>
        </w:rPr>
        <w:t>Single-cell RNA Sequencing Analysis.</w:t>
      </w:r>
      <w:r>
        <w:rPr>
          <w:rFonts w:hint="default" w:ascii="Times New Roman" w:hAnsi="Times New Roman" w:cs="Times New Roman"/>
          <w:sz w:val="24"/>
          <w:szCs w:val="24"/>
        </w:rPr>
        <w:t xml:space="preserve"> (A) UMAP visualization of Seurat-defined clusters in single-cell RNA sequencing data, depicting 1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8</w:t>
      </w:r>
      <w:r>
        <w:rPr>
          <w:rFonts w:hint="default" w:ascii="Times New Roman" w:hAnsi="Times New Roman" w:cs="Times New Roman"/>
          <w:sz w:val="24"/>
          <w:szCs w:val="24"/>
        </w:rPr>
        <w:t xml:space="preserve"> distinct clusters.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(B) Volcano plot of differentially expressed genes across cell clusters, distinguishing significantly upregulated (sigUp) and downregulated (sigDown) genes. (C) Cell-cell interaction networks depicting differences in the number of interactions and interaction weights between normal and tumor tissues.</w:t>
      </w:r>
    </w:p>
    <w:p w14:paraId="36824508">
      <w:p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</w:p>
    <w:p w14:paraId="1F46E201">
      <w:p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5265420" cy="4872990"/>
            <wp:effectExtent l="0" t="0" r="11430" b="3810"/>
            <wp:docPr id="2" name="图片 2" descr="Supplementary Figure S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upplementary Figure S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487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1B268">
      <w:p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Supplementary Figure S5.</w:t>
      </w:r>
      <w:r>
        <w:rPr>
          <w:rFonts w:hint="default" w:ascii="Times New Roman" w:hAnsi="Times New Roman" w:cs="Times New Roman"/>
          <w:b/>
          <w:bCs/>
          <w:sz w:val="24"/>
          <w:szCs w:val="24"/>
        </w:rPr>
        <w:t xml:space="preserve"> RiskScore-Based Prognostic Nomogram for LUAD: Calibration and Discrimination Across Cohorts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(</w:t>
      </w:r>
      <w:r>
        <w:rPr>
          <w:rFonts w:hint="default" w:ascii="Times New Roman" w:hAnsi="Times New Roman" w:cs="Times New Roman"/>
          <w:sz w:val="24"/>
          <w:szCs w:val="24"/>
        </w:rPr>
        <w:t>A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) </w:t>
      </w:r>
      <w:r>
        <w:rPr>
          <w:rFonts w:hint="default" w:ascii="Times New Roman" w:hAnsi="Times New Roman" w:cs="Times New Roman"/>
          <w:sz w:val="24"/>
          <w:szCs w:val="24"/>
        </w:rPr>
        <w:t>Nomograms integrating RiskScore, clinical stage, age, and gender to predict 12-, 36-, and 60-month survival probabilities for TCGA-LUAD, GSE41271, and GSE42127 datasets.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(B)</w:t>
      </w:r>
      <w:r>
        <w:rPr>
          <w:rFonts w:hint="default" w:ascii="Times New Roman" w:hAnsi="Times New Roman" w:cs="Times New Roman"/>
          <w:sz w:val="24"/>
          <w:szCs w:val="24"/>
        </w:rPr>
        <w:t xml:space="preserve"> Calibration curves comparing predicted and actual survival probabilities at 12, 36, and 60 months </w:t>
      </w:r>
      <w:bookmarkStart w:id="0" w:name="_GoBack"/>
      <w:bookmarkEnd w:id="0"/>
      <w:r>
        <w:rPr>
          <w:rFonts w:hint="default" w:ascii="Times New Roman" w:hAnsi="Times New Roman" w:cs="Times New Roman"/>
          <w:sz w:val="24"/>
          <w:szCs w:val="24"/>
        </w:rPr>
        <w:t>across datasets.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(C)</w:t>
      </w:r>
      <w:r>
        <w:rPr>
          <w:rFonts w:hint="default" w:ascii="Times New Roman" w:hAnsi="Times New Roman" w:cs="Times New Roman"/>
          <w:sz w:val="24"/>
          <w:szCs w:val="24"/>
        </w:rPr>
        <w:t xml:space="preserve"> Time-dependent ROC curves evaluating the model’s predictive accuracy for 12-, 36-, and 60-month overall survival.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*</w:t>
      </w:r>
      <w:r>
        <w:rPr>
          <w:rFonts w:hint="default" w:ascii="Times New Roman" w:hAnsi="Times New Roman" w:cs="Times New Roman"/>
          <w:i/>
          <w:iCs/>
          <w:sz w:val="24"/>
          <w:szCs w:val="24"/>
        </w:rPr>
        <w:t>P</w:t>
      </w:r>
      <w:r>
        <w:rPr>
          <w:rFonts w:hint="default" w:ascii="Times New Roman" w:hAnsi="Times New Roman" w:cs="Times New Roman"/>
          <w:sz w:val="24"/>
          <w:szCs w:val="24"/>
        </w:rPr>
        <w:t>&lt; 0.05; **</w:t>
      </w:r>
      <w:r>
        <w:rPr>
          <w:rFonts w:hint="default" w:ascii="Times New Roman" w:hAnsi="Times New Roman" w:cs="Times New Roman"/>
          <w:i/>
          <w:iCs/>
          <w:sz w:val="24"/>
          <w:szCs w:val="24"/>
        </w:rPr>
        <w:t>P</w:t>
      </w:r>
      <w:r>
        <w:rPr>
          <w:rFonts w:hint="default" w:ascii="Times New Roman" w:hAnsi="Times New Roman" w:cs="Times New Roman"/>
          <w:sz w:val="24"/>
          <w:szCs w:val="24"/>
        </w:rPr>
        <w:t>&lt; 0.01; ***</w:t>
      </w:r>
      <w:r>
        <w:rPr>
          <w:rFonts w:hint="default" w:ascii="Times New Roman" w:hAnsi="Times New Roman" w:cs="Times New Roman"/>
          <w:i/>
          <w:iCs/>
          <w:sz w:val="24"/>
          <w:szCs w:val="24"/>
        </w:rPr>
        <w:t>P</w:t>
      </w:r>
      <w:r>
        <w:rPr>
          <w:rFonts w:hint="default" w:ascii="Times New Roman" w:hAnsi="Times New Roman" w:cs="Times New Roman"/>
          <w:sz w:val="24"/>
          <w:szCs w:val="24"/>
        </w:rPr>
        <w:t>&lt; 0.001; ns, not significant.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D8A4831"/>
    <w:rsid w:val="269A5B7B"/>
    <w:rsid w:val="3B3E78AA"/>
    <w:rsid w:val="4EF676C9"/>
    <w:rsid w:val="592E55C6"/>
    <w:rsid w:val="602573D6"/>
    <w:rsid w:val="74CE0CB5"/>
    <w:rsid w:val="788308B4"/>
    <w:rsid w:val="7E0B37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efaultImageDpi w14:val="32767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238</Words>
  <Characters>1453</Characters>
  <Lines>0</Lines>
  <Paragraphs>0</Paragraphs>
  <TotalTime>2</TotalTime>
  <ScaleCrop>false</ScaleCrop>
  <LinksUpToDate>false</LinksUpToDate>
  <CharactersWithSpaces>1686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2026-03-20T00:46:00Z</dcterms:created>
  <dc:creator>Administrator</dc:creator>
  <cp:lastModifiedBy>邵正</cp:lastModifiedBy>
  <dcterms:modified xsi:type="dcterms:W3CDTF">2026-05-09T10:43:39Z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07708A1BB61D4B61B4222F9EADBE36E0_12</vt:lpwstr>
  </property>
  <property fmtid="{D5CDD505-2E9C-101B-9397-08002B2CF9AE}" pid="4" name="KSOTemplateDocerSaveRecord">
    <vt:lpwstr>eyJoZGlkIjoiNTIzNWI2MTkxYTExZmVhZWRjZWNkY2JmY2E1MTZhM2IiLCJ1c2VySWQiOiIxNTg4NTQ5NDcwIn0=</vt:lpwstr>
  </property>
</Properties>
</file>